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82" w:rsidRPr="00446F95" w:rsidRDefault="00092C82" w:rsidP="00FB0997">
      <w:pPr>
        <w:tabs>
          <w:tab w:val="left" w:pos="2534"/>
        </w:tabs>
        <w:spacing w:after="120"/>
        <w:jc w:val="right"/>
        <w:outlineLvl w:val="0"/>
        <w:rPr>
          <w:rFonts w:ascii="Arial" w:hAnsi="Arial" w:cs="Arial"/>
          <w:sz w:val="20"/>
          <w:szCs w:val="20"/>
        </w:rPr>
      </w:pPr>
      <w:bookmarkStart w:id="0" w:name="_GoBack"/>
      <w:bookmarkEnd w:id="0"/>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5953C1">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5953C1">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5953C1">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5953C1">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5953C1">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5953C1">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5953C1">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5953C1">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5953C1">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5953C1">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5953C1">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5953C1">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późn.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późn.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r w:rsidRPr="00A1090F">
        <w:rPr>
          <w:rFonts w:ascii="Arial" w:hAnsi="Arial" w:cs="Arial"/>
          <w:sz w:val="20"/>
          <w:szCs w:val="20"/>
        </w:rPr>
        <w:t>minimis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745D"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1F31"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B774"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upsw),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upsw.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am fakt, że stawki w projektach ustalone zostały w regulaminach uczelni przyjmowanych przez senat uczelni na podstawie art. 151 ust. 8 upsw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5769"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Cross-financing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ponoszone poza teryt.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de minimis</w:t>
            </w:r>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r w:rsidRPr="00CC3B0C">
              <w:rPr>
                <w:rFonts w:ascii="Arial" w:hAnsi="Arial" w:cs="Arial"/>
                <w:color w:val="000000"/>
                <w:sz w:val="16"/>
                <w:szCs w:val="16"/>
              </w:rPr>
              <w:t>ąc</w:t>
            </w:r>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r>
              <w:rPr>
                <w:rFonts w:ascii="Arial" w:hAnsi="Arial" w:cs="Arial"/>
                <w:color w:val="000000"/>
                <w:sz w:val="16"/>
                <w:szCs w:val="16"/>
              </w:rPr>
              <w:t>ąc</w:t>
            </w:r>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9928"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67"/>
              <w:gridCol w:w="444"/>
              <w:gridCol w:w="443"/>
              <w:gridCol w:w="443"/>
              <w:gridCol w:w="443"/>
              <w:gridCol w:w="503"/>
              <w:gridCol w:w="443"/>
              <w:gridCol w:w="443"/>
              <w:gridCol w:w="490"/>
              <w:gridCol w:w="485"/>
              <w:gridCol w:w="714"/>
              <w:gridCol w:w="443"/>
              <w:gridCol w:w="571"/>
              <w:gridCol w:w="476"/>
              <w:gridCol w:w="696"/>
              <w:gridCol w:w="476"/>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401776">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Cross-financing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ponoszone poza teryt.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de minimis</w:t>
                  </w:r>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401776">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401776">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401776">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401776">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401776">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40177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31"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31"/>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2"/>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3"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3"/>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4"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4"/>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5C85"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8"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8"/>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9"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9"/>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0"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40"/>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1"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41"/>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2" w:name="_Toc504735420"/>
      <w:r w:rsidRPr="00B83838">
        <w:rPr>
          <w:rFonts w:ascii="Arial" w:hAnsi="Arial" w:cs="Arial"/>
          <w:b/>
          <w:color w:val="5B9BD5" w:themeColor="accent1"/>
        </w:rPr>
        <w:t>Po co określono miesięczny limit 276 godzin zaangażowania zawodowego?</w:t>
      </w:r>
      <w:bookmarkEnd w:id="42"/>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3" w:name="_Toc504735421"/>
      <w:r w:rsidRPr="00B83838">
        <w:rPr>
          <w:rFonts w:ascii="Arial" w:hAnsi="Arial" w:cs="Arial"/>
          <w:b/>
          <w:color w:val="5B9BD5" w:themeColor="accent1"/>
        </w:rPr>
        <w:t>Co i jak wliczamy do limitu 276 godzin zaangażowania zawodowego?</w:t>
      </w:r>
      <w:bookmarkEnd w:id="43"/>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4" w:name="_Toc504735422"/>
      <w:r w:rsidRPr="00B83838">
        <w:rPr>
          <w:rFonts w:ascii="Arial" w:hAnsi="Arial" w:cs="Arial"/>
          <w:b/>
          <w:color w:val="5B9BD5" w:themeColor="accent1"/>
        </w:rPr>
        <w:t>Jak weryfikować limit 276 godzin?</w:t>
      </w:r>
      <w:bookmarkEnd w:id="44"/>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5457"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5" w:name="_Toc504735423"/>
      <w:r w:rsidRPr="00B83838">
        <w:rPr>
          <w:rFonts w:ascii="Arial" w:hAnsi="Arial" w:cs="Arial"/>
          <w:b/>
          <w:color w:val="5B9BD5" w:themeColor="accent1"/>
        </w:rPr>
        <w:t>Jak policzyć wydatki niekwalifikowalne w przypadku przekroczenia limitu 276 godzin?</w:t>
      </w:r>
      <w:bookmarkEnd w:id="45"/>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6"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6"/>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7"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7"/>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8"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8"/>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9"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9"/>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50"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50"/>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51" w:name="_Toc501534853"/>
      <w:bookmarkStart w:id="52" w:name="_Toc501535022"/>
      <w:bookmarkStart w:id="53" w:name="_Toc501534854"/>
      <w:bookmarkStart w:id="54" w:name="_Toc501535023"/>
      <w:bookmarkStart w:id="55" w:name="_Toc501534855"/>
      <w:bookmarkStart w:id="56" w:name="_Toc501535024"/>
      <w:bookmarkStart w:id="57" w:name="_Toc501534856"/>
      <w:bookmarkStart w:id="58" w:name="_Toc501535025"/>
      <w:bookmarkStart w:id="59" w:name="_Toc501534857"/>
      <w:bookmarkStart w:id="60" w:name="_Toc501535026"/>
      <w:bookmarkStart w:id="61" w:name="_Toc501534858"/>
      <w:bookmarkStart w:id="62" w:name="_Toc501535027"/>
      <w:bookmarkStart w:id="63" w:name="_Toc504735429"/>
      <w:bookmarkEnd w:id="51"/>
      <w:bookmarkEnd w:id="52"/>
      <w:bookmarkEnd w:id="53"/>
      <w:bookmarkEnd w:id="54"/>
      <w:bookmarkEnd w:id="55"/>
      <w:bookmarkEnd w:id="56"/>
      <w:bookmarkEnd w:id="57"/>
      <w:bookmarkEnd w:id="58"/>
      <w:bookmarkEnd w:id="59"/>
      <w:bookmarkEnd w:id="60"/>
      <w:bookmarkEnd w:id="61"/>
      <w:bookmarkEnd w:id="62"/>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63"/>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64" w:name="_Toc501534864"/>
      <w:bookmarkStart w:id="65" w:name="_Toc501535033"/>
      <w:bookmarkStart w:id="66" w:name="_Toc504735430"/>
      <w:bookmarkEnd w:id="64"/>
      <w:bookmarkEnd w:id="65"/>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6"/>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7"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7"/>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8"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8"/>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9" w:name="_Toc504735433"/>
      <w:r w:rsidRPr="00F55DA2">
        <w:rPr>
          <w:rFonts w:ascii="Arial" w:hAnsi="Arial" w:cs="Arial"/>
          <w:b/>
          <w:color w:val="5B9BD5" w:themeColor="accent1"/>
        </w:rPr>
        <w:lastRenderedPageBreak/>
        <w:t>Które składki i opłaty fakultatywne są kwalifikowalne?</w:t>
      </w:r>
      <w:bookmarkEnd w:id="69"/>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tiret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70" w:name="_Toc481743429"/>
      <w:bookmarkStart w:id="71" w:name="_Toc481743434"/>
      <w:bookmarkStart w:id="72" w:name="_Toc481743436"/>
      <w:bookmarkStart w:id="73" w:name="_Toc481743437"/>
      <w:bookmarkStart w:id="74" w:name="_Toc481743439"/>
      <w:bookmarkStart w:id="75" w:name="_Toc481743440"/>
      <w:bookmarkEnd w:id="70"/>
      <w:bookmarkEnd w:id="71"/>
      <w:bookmarkEnd w:id="72"/>
      <w:bookmarkEnd w:id="73"/>
      <w:bookmarkEnd w:id="74"/>
      <w:bookmarkEnd w:id="75"/>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6" w:name="_Toc495584344"/>
      <w:bookmarkStart w:id="77" w:name="_Toc501534869"/>
      <w:bookmarkStart w:id="78" w:name="_Toc501535038"/>
      <w:bookmarkStart w:id="79" w:name="_Toc501534870"/>
      <w:bookmarkStart w:id="80" w:name="_Toc501535039"/>
      <w:bookmarkStart w:id="81" w:name="_Toc501534871"/>
      <w:bookmarkStart w:id="82" w:name="_Toc501535040"/>
      <w:bookmarkStart w:id="83" w:name="_Toc501534872"/>
      <w:bookmarkStart w:id="84" w:name="_Toc501535041"/>
      <w:bookmarkStart w:id="85" w:name="_Toc481743443"/>
      <w:bookmarkStart w:id="86" w:name="_Toc481743444"/>
      <w:bookmarkStart w:id="87" w:name="_Toc501534875"/>
      <w:bookmarkStart w:id="88" w:name="_Toc501535044"/>
      <w:bookmarkStart w:id="89" w:name="_Toc501534877"/>
      <w:bookmarkStart w:id="90" w:name="_Toc501535046"/>
      <w:bookmarkStart w:id="91" w:name="_Toc501534878"/>
      <w:bookmarkStart w:id="92" w:name="_Toc501535047"/>
      <w:bookmarkStart w:id="93" w:name="_Toc501534888"/>
      <w:bookmarkStart w:id="94" w:name="_Toc501535057"/>
      <w:bookmarkStart w:id="95" w:name="_Toc501534889"/>
      <w:bookmarkStart w:id="96" w:name="_Toc501535058"/>
      <w:bookmarkStart w:id="97" w:name="_Toc501534891"/>
      <w:bookmarkStart w:id="98" w:name="_Toc501535060"/>
      <w:bookmarkStart w:id="99" w:name="_Toc501534892"/>
      <w:bookmarkStart w:id="100" w:name="_Toc501535061"/>
      <w:bookmarkStart w:id="101" w:name="_Toc501534893"/>
      <w:bookmarkStart w:id="102" w:name="_Toc501535062"/>
      <w:bookmarkStart w:id="103" w:name="_Toc501534894"/>
      <w:bookmarkStart w:id="104" w:name="_Toc501535063"/>
      <w:bookmarkStart w:id="105" w:name="_Toc501534897"/>
      <w:bookmarkStart w:id="106" w:name="_Toc501535066"/>
      <w:bookmarkStart w:id="107" w:name="_Toc501534899"/>
      <w:bookmarkStart w:id="108" w:name="_Toc501535068"/>
      <w:bookmarkStart w:id="109" w:name="_Toc501534900"/>
      <w:bookmarkStart w:id="110" w:name="_Toc501535069"/>
      <w:bookmarkStart w:id="111" w:name="_Toc501534901"/>
      <w:bookmarkStart w:id="112" w:name="_Toc501535070"/>
      <w:bookmarkStart w:id="113" w:name="_Toc501534902"/>
      <w:bookmarkStart w:id="114" w:name="_Toc501535071"/>
      <w:bookmarkStart w:id="115" w:name="_Toc501534903"/>
      <w:bookmarkStart w:id="116" w:name="_Toc501535072"/>
      <w:bookmarkStart w:id="117" w:name="_Toc481743449"/>
      <w:bookmarkStart w:id="118" w:name="_Toc481743450"/>
      <w:bookmarkStart w:id="119" w:name="_Toc501534904"/>
      <w:bookmarkStart w:id="120" w:name="_Toc501535073"/>
      <w:bookmarkStart w:id="121" w:name="_Toc501534906"/>
      <w:bookmarkStart w:id="122" w:name="_Toc501535075"/>
      <w:bookmarkStart w:id="123" w:name="_Toc501534907"/>
      <w:bookmarkStart w:id="124" w:name="_Toc501535076"/>
      <w:bookmarkStart w:id="125" w:name="_Toc501534908"/>
      <w:bookmarkStart w:id="126" w:name="_Toc501535077"/>
      <w:bookmarkStart w:id="127" w:name="_Toc501534910"/>
      <w:bookmarkStart w:id="128" w:name="_Toc501535079"/>
      <w:bookmarkStart w:id="129" w:name="_Toc501534911"/>
      <w:bookmarkStart w:id="130" w:name="_Toc501535080"/>
      <w:bookmarkStart w:id="131" w:name="_Toc501534912"/>
      <w:bookmarkStart w:id="132" w:name="_Toc501535081"/>
      <w:bookmarkStart w:id="133" w:name="_Toc501534914"/>
      <w:bookmarkStart w:id="134" w:name="_Toc501535083"/>
      <w:bookmarkStart w:id="135" w:name="_Toc501534915"/>
      <w:bookmarkStart w:id="136" w:name="_Toc501535084"/>
      <w:bookmarkStart w:id="137" w:name="_Toc50473543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55DA2">
        <w:rPr>
          <w:rFonts w:ascii="Arial" w:hAnsi="Arial" w:cs="Arial"/>
          <w:b/>
          <w:color w:val="5B9BD5" w:themeColor="accent1"/>
        </w:rPr>
        <w:t>Co umowa o pracę powinna uwzględniać?</w:t>
      </w:r>
      <w:bookmarkEnd w:id="137"/>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projektem/ami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9B7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6450"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8"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8"/>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8B95"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9" w:name="_Toc495584351"/>
      <w:bookmarkStart w:id="140" w:name="_Toc501534918"/>
      <w:bookmarkStart w:id="141" w:name="_Toc501535087"/>
      <w:bookmarkStart w:id="142" w:name="_Toc495584352"/>
      <w:bookmarkStart w:id="143" w:name="_Toc501534919"/>
      <w:bookmarkStart w:id="144" w:name="_Toc501535088"/>
      <w:bookmarkStart w:id="145" w:name="_Toc495584353"/>
      <w:bookmarkStart w:id="146" w:name="_Toc501534920"/>
      <w:bookmarkStart w:id="147" w:name="_Toc501535089"/>
      <w:bookmarkStart w:id="148" w:name="_Toc495584354"/>
      <w:bookmarkStart w:id="149" w:name="_Toc501534921"/>
      <w:bookmarkStart w:id="150" w:name="_Toc501535090"/>
      <w:bookmarkStart w:id="151" w:name="_Toc495584355"/>
      <w:bookmarkStart w:id="152" w:name="_Toc501534922"/>
      <w:bookmarkStart w:id="153" w:name="_Toc501535091"/>
      <w:bookmarkStart w:id="154" w:name="_Toc481743456"/>
      <w:bookmarkStart w:id="155" w:name="_Toc5047354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5"/>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78B1"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6" w:name="_Toc504735437"/>
      <w:r w:rsidRPr="00952ADB">
        <w:rPr>
          <w:rFonts w:ascii="Arial" w:hAnsi="Arial" w:cs="Arial"/>
          <w:b/>
          <w:color w:val="5B9BD5" w:themeColor="accent1"/>
        </w:rPr>
        <w:t>Jak wygląda zatrudnienie, a jak oddelegowanie w ramach projektu?</w:t>
      </w:r>
      <w:bookmarkEnd w:id="156"/>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7" w:name="_Toc504735438"/>
      <w:r w:rsidRPr="00952ADB">
        <w:rPr>
          <w:rFonts w:ascii="Arial" w:hAnsi="Arial" w:cs="Arial"/>
          <w:b/>
          <w:color w:val="5B9BD5" w:themeColor="accent1"/>
          <w:lang w:eastAsia="en-US"/>
        </w:rPr>
        <w:t>Na jaki okres pracownik może zostać oddelegowany do projektu?</w:t>
      </w:r>
      <w:bookmarkEnd w:id="157"/>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8"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8"/>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9"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9"/>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60" w:name="_Toc504735441"/>
      <w:r w:rsidRPr="00952ADB">
        <w:rPr>
          <w:rFonts w:ascii="Arial" w:hAnsi="Arial" w:cs="Arial"/>
          <w:b/>
          <w:color w:val="5B9BD5" w:themeColor="accent1"/>
          <w:lang w:eastAsia="en-US"/>
        </w:rPr>
        <w:t>Czy dodatek jako uzupełnienie wynagrodzenia otrzymywanego poza projektem jest kwalifikowalny?</w:t>
      </w:r>
      <w:bookmarkEnd w:id="160"/>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61"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61"/>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62" w:name="_Toc481743465"/>
      <w:bookmarkStart w:id="163" w:name="_Toc504735443"/>
      <w:bookmarkEnd w:id="162"/>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63"/>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64"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64"/>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16A7"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5" w:name="_Toc501534932"/>
      <w:bookmarkStart w:id="166" w:name="_Toc501535101"/>
      <w:bookmarkStart w:id="167" w:name="_Toc501534933"/>
      <w:bookmarkStart w:id="168" w:name="_Toc501535102"/>
      <w:bookmarkStart w:id="169" w:name="_Toc501534934"/>
      <w:bookmarkStart w:id="170" w:name="_Toc501535103"/>
      <w:bookmarkStart w:id="171" w:name="_Toc504735445"/>
      <w:bookmarkEnd w:id="165"/>
      <w:bookmarkEnd w:id="166"/>
      <w:bookmarkEnd w:id="167"/>
      <w:bookmarkEnd w:id="168"/>
      <w:bookmarkEnd w:id="169"/>
      <w:bookmarkEnd w:id="170"/>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71"/>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72"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72"/>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3"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73"/>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4" w:name="_Toc504735448"/>
      <w:r w:rsidRPr="00F55DA2">
        <w:rPr>
          <w:rFonts w:ascii="Arial" w:hAnsi="Arial" w:cs="Arial"/>
          <w:b/>
          <w:color w:val="5B9BD5" w:themeColor="accent1"/>
        </w:rPr>
        <w:t>Jak rozliczyć wynagrodzenie osoby samozatrudnionej?</w:t>
      </w:r>
      <w:bookmarkEnd w:id="174"/>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5"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5"/>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6"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6"/>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7"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7"/>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8" w:name="_Toc504735452"/>
      <w:r w:rsidRPr="00F55DA2">
        <w:rPr>
          <w:rFonts w:ascii="Arial" w:hAnsi="Arial" w:cs="Arial"/>
          <w:b/>
          <w:color w:val="5B9BD5" w:themeColor="accent1"/>
          <w:lang w:eastAsia="en-US"/>
        </w:rPr>
        <w:t>W jaki sposób rozliczyć wynagrodzenie osoby współpracującej?</w:t>
      </w:r>
      <w:bookmarkEnd w:id="178"/>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9"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9"/>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80"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80"/>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1"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81"/>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0391"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2"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82"/>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3" w:name="_Toc504735457"/>
            <w:r w:rsidRPr="00107CC2">
              <w:rPr>
                <w:rFonts w:ascii="Arial" w:hAnsi="Arial" w:cs="Arial"/>
                <w:b/>
                <w:sz w:val="18"/>
                <w:szCs w:val="18"/>
              </w:rPr>
              <w:t>Czy można zawrzeć kilka umów cywilnoprawnych z jedną osobą?</w:t>
            </w:r>
            <w:bookmarkEnd w:id="183"/>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4"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84"/>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5"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5"/>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6" w:name="_Toc495584377"/>
      <w:bookmarkStart w:id="187" w:name="_Toc481743473"/>
      <w:bookmarkStart w:id="188" w:name="_Toc481743487"/>
      <w:bookmarkEnd w:id="186"/>
      <w:bookmarkEnd w:id="187"/>
      <w:bookmarkEnd w:id="188"/>
    </w:p>
    <w:sectPr w:rsidR="005761AC" w:rsidSect="00650EDB">
      <w:footerReference w:type="even" r:id="rId8"/>
      <w:footerReference w:type="default" r:id="rId9"/>
      <w:headerReference w:type="first" r:id="rId10"/>
      <w:footerReference w:type="first" r:id="rId11"/>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C1" w:rsidRDefault="005953C1">
      <w:r>
        <w:separator/>
      </w:r>
    </w:p>
  </w:endnote>
  <w:endnote w:type="continuationSeparator" w:id="0">
    <w:p w:rsidR="005953C1" w:rsidRDefault="0059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401776">
          <w:rPr>
            <w:rFonts w:ascii="Arial" w:hAnsi="Arial" w:cs="Arial"/>
            <w:noProof/>
            <w:sz w:val="20"/>
            <w:szCs w:val="20"/>
          </w:rPr>
          <w:t>2</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C1" w:rsidRDefault="005953C1">
      <w:r>
        <w:separator/>
      </w:r>
    </w:p>
  </w:footnote>
  <w:footnote w:type="continuationSeparator" w:id="0">
    <w:p w:rsidR="005953C1" w:rsidRDefault="005953C1">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10D1" id="_x0000_t202" coordsize="21600,21600" o:spt="202" path="m,l,21600r21600,l21600,xe">
              <v:stroke joinstyle="miter"/>
              <v:path gradientshapeok="t" o:connecttype="rect"/>
            </v:shapetype>
            <v:shape id="_x0000_s1039"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3D1011" w:rsidRPr="001D3444" w:rsidRDefault="003D1011"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15:restartNumberingAfterBreak="0">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15:restartNumberingAfterBreak="0">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15:restartNumberingAfterBreak="0">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15:restartNumberingAfterBreak="0">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15:restartNumberingAfterBreak="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6"/>
    <w:rsid w:val="000009EC"/>
    <w:rsid w:val="00000D16"/>
    <w:rsid w:val="0000137B"/>
    <w:rsid w:val="00004957"/>
    <w:rsid w:val="00005016"/>
    <w:rsid w:val="0000786D"/>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776"/>
    <w:rsid w:val="00401BEE"/>
    <w:rsid w:val="00403FC6"/>
    <w:rsid w:val="00406F40"/>
    <w:rsid w:val="00411105"/>
    <w:rsid w:val="004116F8"/>
    <w:rsid w:val="00412134"/>
    <w:rsid w:val="00412D25"/>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3C1"/>
    <w:rsid w:val="00595A7C"/>
    <w:rsid w:val="005964C2"/>
    <w:rsid w:val="005A085B"/>
    <w:rsid w:val="005A11F4"/>
    <w:rsid w:val="005A420D"/>
    <w:rsid w:val="005A4D06"/>
    <w:rsid w:val="005A64B5"/>
    <w:rsid w:val="005A7B74"/>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885EEC-8E1A-42AB-8995-E1914F9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B21A-9019-4586-8B6C-7A1456B0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13858</Words>
  <Characters>83150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Katarzyna Rauchut</cp:lastModifiedBy>
  <cp:revision>2</cp:revision>
  <cp:lastPrinted>2018-01-05T14:24:00Z</cp:lastPrinted>
  <dcterms:created xsi:type="dcterms:W3CDTF">2018-01-29T11:11:00Z</dcterms:created>
  <dcterms:modified xsi:type="dcterms:W3CDTF">2018-01-29T11:11:00Z</dcterms:modified>
</cp:coreProperties>
</file>